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114" w:after="0" w:line="536" w:lineRule="exact"/>
        <w:ind w:right="0" w:left="0" w:firstLine="0"/>
        <w:jc w:val="center"/>
        <w:textAlignment w:val="baseline"/>
        <w:rPr>
          <w:rFonts w:ascii="Rockwell" w:hAnsi="Rockwell" w:eastAsia="Rockwell"/>
          <w:b w:val="true"/>
          <w:strike w:val="false"/>
          <w:color w:val="000000"/>
          <w:spacing w:val="-79"/>
          <w:w w:val="120"/>
          <w:sz w:val="60"/>
          <w:vertAlign w:val="baseline"/>
          <w:lang w:val="fr-FR"/>
        </w:rPr>
      </w:pPr>
      <w:r>
        <w:rPr>
          <w:rFonts w:ascii="Rockwell" w:hAnsi="Rockwell" w:eastAsia="Rockwell"/>
          <w:b w:val="true"/>
          <w:strike w:val="false"/>
          <w:color w:val="000000"/>
          <w:spacing w:val="-79"/>
          <w:w w:val="120"/>
          <w:sz w:val="60"/>
          <w:vertAlign w:val="baseline"/>
          <w:lang w:val="fr-FR"/>
        </w:rPr>
        <w:t xml:space="preserve">Les instruments juridiques de</w:t>
      </w:r>
    </w:p>
    <w:p>
      <w:pPr>
        <w:spacing w:before="0" w:after="0" w:line="641" w:lineRule="exact"/>
        <w:ind w:right="0" w:left="0" w:firstLine="0"/>
        <w:jc w:val="center"/>
        <w:textAlignment w:val="baseline"/>
        <w:rPr>
          <w:rFonts w:ascii="Rockwell" w:hAnsi="Rockwell" w:eastAsia="Rockwell"/>
          <w:b w:val="true"/>
          <w:strike w:val="false"/>
          <w:color w:val="000000"/>
          <w:spacing w:val="-63"/>
          <w:w w:val="120"/>
          <w:sz w:val="60"/>
          <w:vertAlign w:val="baseline"/>
          <w:lang w:val="fr-FR"/>
        </w:rPr>
      </w:pPr>
      <w:r>
        <w:rPr>
          <w:rFonts w:ascii="Rockwell" w:hAnsi="Rockwell" w:eastAsia="Rockwell"/>
          <w:b w:val="true"/>
          <w:strike w:val="false"/>
          <w:color w:val="000000"/>
          <w:spacing w:val="-63"/>
          <w:w w:val="120"/>
          <w:sz w:val="60"/>
          <w:vertAlign w:val="baseline"/>
          <w:lang w:val="fr-FR"/>
        </w:rPr>
        <w:t xml:space="preserve">lutte</w:t>
      </w:r>
    </w:p>
    <w:p>
      <w:pPr>
        <w:spacing w:before="0" w:after="0" w:line="590" w:lineRule="exact"/>
        <w:ind w:right="0" w:left="0" w:firstLine="0"/>
        <w:jc w:val="center"/>
        <w:textAlignment w:val="baseline"/>
        <w:rPr>
          <w:rFonts w:ascii="Rockwell" w:hAnsi="Rockwell" w:eastAsia="Rockwell"/>
          <w:b w:val="true"/>
          <w:strike w:val="false"/>
          <w:color w:val="000000"/>
          <w:spacing w:val="-64"/>
          <w:w w:val="120"/>
          <w:sz w:val="60"/>
          <w:vertAlign w:val="baseline"/>
          <w:lang w:val="fr-FR"/>
        </w:rPr>
      </w:pPr>
      <w:r>
        <w:rPr>
          <w:rFonts w:ascii="Rockwell" w:hAnsi="Rockwell" w:eastAsia="Rockwell"/>
          <w:b w:val="true"/>
          <w:strike w:val="false"/>
          <w:color w:val="000000"/>
          <w:spacing w:val="-64"/>
          <w:w w:val="120"/>
          <w:sz w:val="60"/>
          <w:vertAlign w:val="baseline"/>
          <w:lang w:val="fr-FR"/>
        </w:rPr>
        <w:t xml:space="preserve">contre les inondations et leurs</w:t>
      </w:r>
    </w:p>
    <w:p>
      <w:pPr>
        <w:spacing w:before="1" w:after="291" w:line="590" w:lineRule="exact"/>
        <w:ind w:right="0" w:left="0" w:firstLine="0"/>
        <w:jc w:val="center"/>
        <w:textAlignment w:val="baseline"/>
        <w:rPr>
          <w:rFonts w:ascii="Rockwell" w:hAnsi="Rockwell" w:eastAsia="Rockwell"/>
          <w:b w:val="true"/>
          <w:strike w:val="false"/>
          <w:color w:val="000000"/>
          <w:spacing w:val="-53"/>
          <w:w w:val="120"/>
          <w:sz w:val="60"/>
          <w:vertAlign w:val="baseline"/>
          <w:lang w:val="fr-FR"/>
        </w:rPr>
      </w:pPr>
      <w:r>
        <w:rPr>
          <w:rFonts w:ascii="Rockwell" w:hAnsi="Rockwell" w:eastAsia="Rockwell"/>
          <w:b w:val="true"/>
          <w:strike w:val="false"/>
          <w:color w:val="000000"/>
          <w:spacing w:val="-53"/>
          <w:w w:val="120"/>
          <w:sz w:val="60"/>
          <w:vertAlign w:val="baseline"/>
          <w:lang w:val="fr-FR"/>
        </w:rPr>
        <w:t xml:space="preserve">effets</w:t>
      </w:r>
    </w:p>
    <w:p>
      <w:pPr>
        <w:spacing w:before="4" w:after="0" w:line="239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strike w:val="false"/>
          <w:color w:val="000000"/>
          <w:spacing w:val="29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29"/>
          <w:w w:val="100"/>
          <w:sz w:val="21"/>
          <w:vertAlign w:val="baseline"/>
          <w:lang w:val="fr-FR"/>
        </w:rPr>
        <w:t xml:space="preserve">Par</w:t>
      </w:r>
    </w:p>
    <w:p>
      <w:pPr>
        <w:spacing w:before="217" w:after="0" w:line="234" w:lineRule="exact"/>
        <w:ind w:right="0" w:left="0" w:firstLine="0"/>
        <w:jc w:val="center"/>
        <w:textAlignment w:val="baseline"/>
        <w:rPr>
          <w:rFonts w:ascii="Arial" w:hAnsi="Arial" w:eastAsia="Arial"/>
          <w:b w:val="true"/>
          <w:strike w:val="false"/>
          <w:color w:val="000000"/>
          <w:spacing w:val="-5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5"/>
          <w:w w:val="100"/>
          <w:sz w:val="21"/>
          <w:vertAlign w:val="baseline"/>
          <w:lang w:val="fr-FR"/>
        </w:rPr>
        <w:t xml:space="preserve">David DEHARBE</w:t>
      </w:r>
    </w:p>
    <w:p>
      <w:pPr>
        <w:spacing w:before="0" w:after="0" w:line="232" w:lineRule="exact"/>
        <w:ind w:right="0" w:left="576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  <w:t xml:space="preserve">Avocat spécialiste en droit public et en droit de l’environnement (Barreau de Lille)</w:t>
      </w:r>
    </w:p>
    <w:p>
      <w:pPr>
        <w:spacing w:before="0" w:after="0" w:line="239" w:lineRule="exact"/>
        <w:ind w:right="0" w:left="576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  <w:t xml:space="preserve">Maître de conférences des Universités - Habilité à Diriger des Recherches (Lille2)</w:t>
      </w:r>
    </w:p>
    <w:p>
      <w:pPr>
        <w:spacing w:before="1032" w:after="0" w:line="314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7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7"/>
          <w:vertAlign w:val="baseline"/>
          <w:lang w:val="fr-FR"/>
        </w:rPr>
        <w:t xml:space="preserve">Thème 1 </w:t>
      </w: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9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7"/>
          <w:vertAlign w:val="baseline"/>
          <w:lang w:val="fr-FR"/>
        </w:rPr>
        <w:t xml:space="preserve">G</w:t>
      </w: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2"/>
          <w:vertAlign w:val="baseline"/>
          <w:lang w:val="fr-FR"/>
        </w:rPr>
        <w:t xml:space="preserve">ENERALITES</w:t>
      </w:r>
    </w:p>
    <w:p>
      <w:pPr>
        <w:spacing w:before="325" w:after="0" w:line="239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4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4"/>
          <w:w w:val="100"/>
          <w:sz w:val="21"/>
          <w:vertAlign w:val="baseline"/>
          <w:lang w:val="fr-FR"/>
        </w:rPr>
        <w:t xml:space="preserve">1 </w:t>
      </w:r>
      <w:r>
        <w:rPr>
          <w:rFonts w:ascii="Arial" w:hAnsi="Arial" w:eastAsia="Arial"/>
          <w:b w:val="true"/>
          <w:strike w:val="false"/>
          <w:color w:val="000000"/>
          <w:spacing w:val="-4"/>
          <w:w w:val="100"/>
          <w:sz w:val="21"/>
          <w:vertAlign w:val="baseline"/>
          <w:lang w:val="fr-FR"/>
        </w:rPr>
        <w:t xml:space="preserve">– définition du risque d’inondation</w:t>
      </w:r>
    </w:p>
    <w:p>
      <w:pPr>
        <w:spacing w:before="274" w:after="0" w:line="264" w:lineRule="exact"/>
        <w:ind w:right="792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  <w:t xml:space="preserve">2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  <w:t xml:space="preserve">La directive 2007/60/CE du 23 octobre 2007 relative à l'évaluation et à la gestion des risques d'inondation et sa transposition</w:t>
      </w:r>
    </w:p>
    <w:p>
      <w:pPr>
        <w:spacing w:before="317" w:after="0" w:line="239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3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– Politique nationale de prévention des inondations et l’instruction du 22 février 2012</w:t>
      </w:r>
    </w:p>
    <w:p>
      <w:pPr>
        <w:spacing w:before="304" w:after="258" w:line="239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4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– L’après Xynthia : plan de subm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ersion et stratégie de gestion intégrée du trait de côte</w:t>
      </w:r>
    </w:p>
    <w:p>
      <w:pPr>
        <w:spacing w:before="0" w:after="279" w:line="240" w:lineRule="auto"/>
        <w:ind w:right="3" w:left="7200"/>
        <w:jc w:val="left"/>
        <w:textAlignment w:val="baseline"/>
      </w:pPr>
      <w:r>
        <w:drawing>
          <wp:inline>
            <wp:extent cx="1191895" cy="1459865"/>
            <wp:docPr id="1" name="Picture"/>
            <a:graphic>
              <a:graphicData uri="http://schemas.openxmlformats.org/drawingml/2006/picture">
                <pic:pic>
                  <pic:nvPicPr>
                    <pic:cNvPr id="2" name="test1"/>
                    <pic:cNvPicPr preferRelativeResize="false"/>
                  </pic:nvPicPr>
                  <pic:blipFill>
                    <a:blip r:embed="drId3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9" w:after="0" w:line="314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0"/>
          <w:w w:val="100"/>
          <w:sz w:val="27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7"/>
          <w:vertAlign w:val="baseline"/>
          <w:lang w:val="fr-FR"/>
        </w:rPr>
        <w:t xml:space="preserve">Thème 2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9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7"/>
          <w:vertAlign w:val="baseline"/>
          <w:lang w:val="fr-FR"/>
        </w:rPr>
        <w:t xml:space="preserve">I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2"/>
          <w:vertAlign w:val="baseline"/>
          <w:lang w:val="fr-FR"/>
        </w:rPr>
        <w:t xml:space="preserve">NSTRUMENTS PREVENTIFS DE PLANIFICATION</w:t>
      </w:r>
    </w:p>
    <w:p>
      <w:pPr>
        <w:spacing w:before="315" w:after="0" w:line="239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6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6"/>
          <w:w w:val="100"/>
          <w:sz w:val="21"/>
          <w:vertAlign w:val="baseline"/>
          <w:lang w:val="fr-FR"/>
        </w:rPr>
        <w:t xml:space="preserve">1 </w:t>
      </w:r>
      <w:r>
        <w:rPr>
          <w:rFonts w:ascii="Arial" w:hAnsi="Arial" w:eastAsia="Arial"/>
          <w:b w:val="true"/>
          <w:strike w:val="false"/>
          <w:color w:val="000000"/>
          <w:spacing w:val="-6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6"/>
          <w:w w:val="100"/>
          <w:sz w:val="21"/>
          <w:vertAlign w:val="baseline"/>
          <w:lang w:val="fr-FR"/>
        </w:rPr>
        <w:t xml:space="preserve">SDAGE/SAGE</w:t>
      </w:r>
    </w:p>
    <w:p>
      <w:pPr>
        <w:spacing w:before="308" w:after="0" w:line="239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  <w:t xml:space="preserve">2 </w:t>
      </w:r>
      <w:r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  <w:t xml:space="preserve">– La nouvelle approche intégrée au niveau du bassin du risque d’inondation</w:t>
      </w:r>
    </w:p>
    <w:p>
      <w:pPr>
        <w:spacing w:before="277" w:after="0" w:line="264" w:lineRule="exact"/>
        <w:ind w:right="108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  <w:t xml:space="preserve">3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  <w:t xml:space="preserve">EPRI, stratégie nationale, TRI et cartographie des surfaces inondables et des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  <w:t xml:space="preserve">risques d’inondation</w:t>
      </w:r>
    </w:p>
    <w:p>
      <w:pPr>
        <w:spacing w:before="315" w:after="0" w:line="239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4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PGRI (plan de gestion des risques d'inondation) et stratégies locales</w:t>
      </w:r>
    </w:p>
    <w:p>
      <w:pPr>
        <w:spacing w:before="308" w:after="0" w:line="239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9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9"/>
          <w:w w:val="100"/>
          <w:sz w:val="21"/>
          <w:vertAlign w:val="baseline"/>
          <w:lang w:val="fr-FR"/>
        </w:rPr>
        <w:t xml:space="preserve">5 </w:t>
      </w:r>
      <w:r>
        <w:rPr>
          <w:rFonts w:ascii="Arial" w:hAnsi="Arial" w:eastAsia="Arial"/>
          <w:b w:val="true"/>
          <w:strike w:val="false"/>
          <w:color w:val="000000"/>
          <w:spacing w:val="-9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9"/>
          <w:w w:val="100"/>
          <w:sz w:val="21"/>
          <w:vertAlign w:val="baseline"/>
          <w:lang w:val="fr-FR"/>
        </w:rPr>
        <w:t xml:space="preserve">PPRi</w:t>
      </w:r>
    </w:p>
    <w:p>
      <w:pPr>
        <w:spacing w:before="308" w:after="0" w:line="239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6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Schéma directeur de prévision des crues (SDPC)</w:t>
      </w:r>
    </w:p>
    <w:p>
      <w:pPr>
        <w:spacing w:before="308" w:after="0" w:line="239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  <w:t xml:space="preserve">7 </w:t>
      </w:r>
      <w:r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  <w:t xml:space="preserve">– Prise en compte des inondations dans les documents d’urbanisme</w:t>
      </w:r>
    </w:p>
    <w:p>
      <w:pPr>
        <w:sectPr>
          <w:type w:val="nextPage"/>
          <w:pgSz w:w="11909" w:h="16838" w:orient="portrait"/>
          <w:pgMar w:bottom="229" w:top="1240" w:right="1413" w:left="1416" w:header="720" w:footer="720"/>
          <w:titlePg w:val="false"/>
          <w:textDirection w:val="lrTb"/>
        </w:sectPr>
      </w:pPr>
    </w:p>
    <w:p>
      <w:pPr>
        <w:spacing w:before="0" w:after="0" w:line="350" w:lineRule="exact"/>
        <w:ind w:right="0" w:left="0" w:firstLine="0"/>
        <w:jc w:val="left"/>
        <w:textAlignment w:val="baseline"/>
        <w:rPr>
          <w:rFonts w:ascii="Verdana" w:hAnsi="Verdana" w:eastAsia="Verdana"/>
          <w:b w:val="true"/>
          <w:strike w:val="false"/>
          <w:color w:val="4A4B45"/>
          <w:spacing w:val="5"/>
          <w:w w:val="100"/>
          <w:sz w:val="25"/>
          <w:vertAlign w:val="baseline"/>
          <w:lang w:val="fr-FR"/>
        </w:rPr>
      </w:pPr>
      <w:r>
        <w:rPr>
          <w:rFonts w:ascii="Verdana" w:hAnsi="Verdana" w:eastAsia="Verdana"/>
          <w:b w:val="true"/>
          <w:strike w:val="false"/>
          <w:color w:val="4A4B45"/>
          <w:spacing w:val="5"/>
          <w:w w:val="100"/>
          <w:sz w:val="25"/>
          <w:vertAlign w:val="baseline"/>
          <w:lang w:val="fr-FR"/>
        </w:rPr>
        <w:t xml:space="preserve">greenLAWAvoz,,,</w:t>
      </w:r>
    </w:p>
    <w:p>
      <w:pPr>
        <w:sectPr>
          <w:type w:val="nextPage"/>
          <w:pgSz w:w="11909" w:h="16838" w:orient="portrait"/>
          <w:pgMar w:bottom="14742" w:top="1340" w:right="1413" w:left="7896" w:header="720" w:footer="720"/>
          <w:titlePg w:val="false"/>
          <w:textDirection w:val="lrTb"/>
        </w:sectPr>
      </w:pPr>
    </w:p>
    <w:p>
      <w:pPr>
        <w:spacing w:before="10" w:after="0" w:line="336" w:lineRule="exact"/>
        <w:ind w:right="648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0"/>
          <w:w w:val="100"/>
          <w:sz w:val="27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7"/>
          <w:vertAlign w:val="baseline"/>
          <w:lang w:val="fr-FR"/>
        </w:rPr>
        <w:t xml:space="preserve">Thème 3 </w:t>
      </w:r>
      <w:r>
        <w:rPr>
          <w:rFonts w:ascii="Arial" w:hAnsi="Arial" w:eastAsia="Arial"/>
          <w:b w:val="true"/>
          <w:strike w:val="false"/>
          <w:color w:val="000000"/>
          <w:spacing w:val="0"/>
          <w:w w:val="85"/>
          <w:sz w:val="30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7"/>
          <w:vertAlign w:val="baseline"/>
          <w:lang w:val="fr-FR"/>
        </w:rPr>
        <w:t xml:space="preserve">I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2"/>
          <w:vertAlign w:val="baseline"/>
          <w:lang w:val="fr-FR"/>
        </w:rPr>
        <w:t xml:space="preserve">NSTRUMENTS DE POLICE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7"/>
          <w:vertAlign w:val="baseline"/>
          <w:lang w:val="fr-FR"/>
        </w:rPr>
        <w:t xml:space="preserve">,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2"/>
          <w:vertAlign w:val="baseline"/>
          <w:lang w:val="fr-FR"/>
        </w:rPr>
        <w:t xml:space="preserve">TRAVAUX ET INSTRUMENTS FONCIERS DE PROTECTION</w:t>
      </w:r>
    </w:p>
    <w:p>
      <w:pPr>
        <w:spacing w:before="346" w:after="0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1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– Repères de crues, instruments de surveillances et d’alerte</w:t>
      </w:r>
    </w:p>
    <w:p>
      <w:pPr>
        <w:spacing w:before="263" w:after="0" w:line="274" w:lineRule="exact"/>
        <w:ind w:right="1224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  <w:t xml:space="preserve">2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1"/>
          <w:vertAlign w:val="baseline"/>
          <w:lang w:val="fr-FR"/>
        </w:rPr>
        <w:t xml:space="preserve">– Police générale et police de l’eau La nouvelle approche intégrée au niveau du bassin du risque d’inondation</w:t>
      </w:r>
    </w:p>
    <w:p>
      <w:pPr>
        <w:spacing w:before="311" w:after="0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  <w:t xml:space="preserve">3 </w:t>
      </w:r>
      <w:r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  <w:t xml:space="preserve">– Instruments de lutte contre l’érosion</w:t>
      </w:r>
    </w:p>
    <w:p>
      <w:pPr>
        <w:spacing w:before="311" w:after="0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  <w:t xml:space="preserve">4 </w:t>
      </w: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  <w:t xml:space="preserve">– Opérations d’intérêt général (L 211</w:t>
      </w: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  <w:t xml:space="preserve">-7 c. env.)</w:t>
      </w:r>
    </w:p>
    <w:p>
      <w:pPr>
        <w:spacing w:before="311" w:after="0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5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Les servitudes temporaires et de mobilité</w:t>
      </w:r>
    </w:p>
    <w:p>
      <w:pPr>
        <w:spacing w:before="312" w:after="0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  <w:t xml:space="preserve">6 </w:t>
      </w:r>
      <w:r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3"/>
          <w:w w:val="100"/>
          <w:sz w:val="21"/>
          <w:vertAlign w:val="baseline"/>
          <w:lang w:val="fr-FR"/>
        </w:rPr>
        <w:t xml:space="preserve">Les servitudes de défense</w:t>
      </w:r>
    </w:p>
    <w:p>
      <w:pPr>
        <w:spacing w:before="306" w:after="266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4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4"/>
          <w:w w:val="100"/>
          <w:sz w:val="21"/>
          <w:vertAlign w:val="baseline"/>
          <w:lang w:val="fr-FR"/>
        </w:rPr>
        <w:t xml:space="preserve">7 </w:t>
      </w:r>
      <w:r>
        <w:rPr>
          <w:rFonts w:ascii="Arial" w:hAnsi="Arial" w:eastAsia="Arial"/>
          <w:b w:val="true"/>
          <w:strike w:val="false"/>
          <w:color w:val="000000"/>
          <w:spacing w:val="-4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4"/>
          <w:w w:val="100"/>
          <w:sz w:val="21"/>
          <w:vertAlign w:val="baseline"/>
          <w:lang w:val="fr-FR"/>
        </w:rPr>
        <w:t xml:space="preserve">Acquisitions des biens exposés à un risque naturel</w:t>
      </w:r>
    </w:p>
    <w:p>
      <w:pPr>
        <w:spacing w:before="0" w:after="275" w:line="240" w:lineRule="auto"/>
        <w:ind w:right="197" w:left="6625"/>
        <w:jc w:val="left"/>
        <w:textAlignment w:val="baseline"/>
      </w:pPr>
      <w:r>
        <w:drawing>
          <wp:inline>
            <wp:extent cx="1557655" cy="1051560"/>
            <wp:docPr id="3" name="Picture"/>
            <a:graphic>
              <a:graphicData uri="http://schemas.openxmlformats.org/drawingml/2006/picture">
                <pic:pic>
                  <pic:nvPicPr>
                    <pic:cNvPr id="4" name="test1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" w:after="0" w:line="320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0"/>
          <w:w w:val="100"/>
          <w:sz w:val="27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7"/>
          <w:vertAlign w:val="baseline"/>
          <w:lang w:val="fr-FR"/>
        </w:rPr>
        <w:t xml:space="preserve">Thème 4 </w:t>
      </w:r>
      <w:r>
        <w:rPr>
          <w:rFonts w:ascii="Arial" w:hAnsi="Arial" w:eastAsia="Arial"/>
          <w:b w:val="true"/>
          <w:strike w:val="false"/>
          <w:color w:val="000000"/>
          <w:spacing w:val="0"/>
          <w:w w:val="85"/>
          <w:sz w:val="30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7"/>
          <w:vertAlign w:val="baseline"/>
          <w:lang w:val="fr-FR"/>
        </w:rPr>
        <w:t xml:space="preserve">R</w:t>
      </w: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2"/>
          <w:vertAlign w:val="baseline"/>
          <w:lang w:val="fr-FR"/>
        </w:rPr>
        <w:t xml:space="preserve">ESPONSABILITE ET REPARATION</w:t>
      </w:r>
    </w:p>
    <w:p>
      <w:pPr>
        <w:spacing w:before="325" w:after="0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1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Responsabilités administrative, voire civile des personnes publiques</w:t>
      </w:r>
    </w:p>
    <w:p>
      <w:pPr>
        <w:spacing w:before="312" w:after="0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2 </w:t>
      </w:r>
      <w:r>
        <w:rPr>
          <w:rFonts w:ascii="Arial" w:hAnsi="Arial" w:eastAsia="Arial"/>
          <w:b w:val="true"/>
          <w:strike w:val="false"/>
          <w:color w:val="000000"/>
          <w:spacing w:val="-2"/>
          <w:w w:val="100"/>
          <w:sz w:val="21"/>
          <w:vertAlign w:val="baseline"/>
          <w:lang w:val="fr-FR"/>
        </w:rPr>
        <w:t xml:space="preserve">– Devoir d’information du vendeur et responsabilité subséquente u notaire</w:t>
      </w:r>
    </w:p>
    <w:p>
      <w:pPr>
        <w:spacing w:before="306" w:after="0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6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6"/>
          <w:w w:val="100"/>
          <w:sz w:val="21"/>
          <w:vertAlign w:val="baseline"/>
          <w:lang w:val="fr-FR"/>
        </w:rPr>
        <w:t xml:space="preserve">3 </w:t>
      </w:r>
      <w:r>
        <w:rPr>
          <w:rFonts w:ascii="Arial" w:hAnsi="Arial" w:eastAsia="Arial"/>
          <w:b w:val="true"/>
          <w:strike w:val="false"/>
          <w:color w:val="000000"/>
          <w:spacing w:val="-6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6"/>
          <w:w w:val="100"/>
          <w:sz w:val="21"/>
          <w:vertAlign w:val="baseline"/>
          <w:lang w:val="fr-FR"/>
        </w:rPr>
        <w:t xml:space="preserve">Risque pénal</w:t>
      </w:r>
    </w:p>
    <w:p>
      <w:pPr>
        <w:spacing w:before="306" w:after="0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  <w:t xml:space="preserve">4 </w:t>
      </w: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  <w:t xml:space="preserve">– Garantie catastrophe naturelle : champ d’application et critères de mise en œuvre</w:t>
      </w:r>
    </w:p>
    <w:p>
      <w:pPr>
        <w:spacing w:before="316" w:after="3224" w:line="236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</w:pP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  <w:t xml:space="preserve">5 </w:t>
      </w: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  <w:t xml:space="preserve">– </w:t>
      </w:r>
      <w:r>
        <w:rPr>
          <w:rFonts w:ascii="Arial" w:hAnsi="Arial" w:eastAsia="Arial"/>
          <w:b w:val="true"/>
          <w:strike w:val="false"/>
          <w:color w:val="000000"/>
          <w:spacing w:val="-1"/>
          <w:w w:val="100"/>
          <w:sz w:val="21"/>
          <w:vertAlign w:val="baseline"/>
          <w:lang w:val="fr-FR"/>
        </w:rPr>
        <w:t xml:space="preserve">Garantie catastrophe naturelle : procédure de reconnaissance et règlement du sinistre</w:t>
      </w:r>
    </w:p>
    <w:p>
      <w:pPr>
        <w:spacing w:before="316" w:after="3224" w:line="236" w:lineRule="exact"/>
        <w:sectPr>
          <w:type w:val="nextPage"/>
          <w:pgSz w:w="11909" w:h="16838" w:orient="portrait"/>
          <w:pgMar w:bottom="562" w:top="1940" w:right="1219" w:left="1415" w:header="720" w:footer="720"/>
          <w:titlePg w:val="false"/>
          <w:textDirection w:val="lrTb"/>
        </w:sectPr>
      </w:pPr>
    </w:p>
    <w:p>
      <w:pPr>
        <w:spacing w:before="0" w:after="0" w:line="240" w:lineRule="auto"/>
        <w:ind w:right="216" w:left="0"/>
        <w:jc w:val="left"/>
        <w:textAlignment w:val="baseline"/>
      </w:pPr>
      <w:r>
        <w:drawing>
          <wp:inline>
            <wp:extent cx="1691640" cy="387350"/>
            <wp:docPr id="5" name="Picture"/>
            <a:graphic>
              <a:graphicData uri="http://schemas.openxmlformats.org/drawingml/2006/picture">
                <pic:pic>
                  <pic:nvPicPr>
                    <pic:cNvPr id="6" name="test1"/>
                    <pic:cNvPicPr preferRelativeResize="false"/>
                  </pic:nvPicPr>
                  <pic:blipFill>
                    <a:blip r:embed="d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9" w:h="16838" w:orient="portrait"/>
      <w:pgMar w:bottom="562" w:top="1940" w:right="1219" w:left="7810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Rockwell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drId3" /><Relationship Type="http://schemas.openxmlformats.org/officeDocument/2006/relationships/image" Target="media/image2.jpg" Id="drId4" /><Relationship Type="http://schemas.openxmlformats.org/officeDocument/2006/relationships/image" Target="media/image3.jpg" Id="drId5" /><Relationship Type="http://schemas.openxmlformats.org/officeDocument/2006/relationships/settings" Target="settings.xml" Id="drId1" /><Relationship Type="http://schemas.openxmlformats.org/officeDocument/2006/relationships/styles" Target="styles.xml" Id="drId0" /><Relationship Type="http://schemas.openxmlformats.org/wordprocessingml/2006/fontTable" Target="fontTable.xml" Id="drId2" /></Relationships>
</file>